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B09E" w14:textId="77777777" w:rsidR="004C61D0" w:rsidRPr="004C61D0" w:rsidRDefault="004C61D0" w:rsidP="004C61D0">
      <w:pPr>
        <w:shd w:val="clear" w:color="auto" w:fill="FFFFFF"/>
        <w:spacing w:after="0" w:line="240" w:lineRule="auto"/>
        <w:ind w:left="570"/>
        <w:jc w:val="center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ПРОТИДІЯ БУЛІНГУ (ЦЬКУВАННЯ) </w:t>
      </w:r>
    </w:p>
    <w:p w14:paraId="1C0F5AFE" w14:textId="77777777" w:rsidR="004C61D0" w:rsidRPr="004C61D0" w:rsidRDefault="004C61D0" w:rsidP="004C61D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:bdr w:val="none" w:sz="0" w:space="0" w:color="auto" w:frame="1"/>
          <w:shd w:val="clear" w:color="auto" w:fill="FFFFFF"/>
          <w:lang w:eastAsia="uk-UA"/>
          <w14:ligatures w14:val="none"/>
        </w:rPr>
        <w:t>Суб’єктами реагування</w:t>
      </w:r>
      <w:r w:rsidRPr="004C61D0">
        <w:rPr>
          <w:rFonts w:ascii="Times New Roman" w:eastAsia="Times New Roman" w:hAnsi="Times New Roman" w:cs="Times New Roman"/>
          <w:b/>
          <w:bCs/>
          <w:color w:val="333333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 </w:t>
      </w: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у разі настання випадку </w:t>
      </w:r>
      <w:proofErr w:type="spellStart"/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</w:t>
      </w: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 </w:t>
      </w: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в закладах освіти є:</w:t>
      </w:r>
    </w:p>
    <w:p w14:paraId="14228197" w14:textId="77777777" w:rsidR="004C61D0" w:rsidRPr="004C61D0" w:rsidRDefault="004C61D0" w:rsidP="004C61D0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служба освітнього омбудсмена;</w:t>
      </w:r>
    </w:p>
    <w:p w14:paraId="0AD243FE" w14:textId="77777777" w:rsidR="004C61D0" w:rsidRPr="004C61D0" w:rsidRDefault="004C61D0" w:rsidP="004C61D0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органи місцевого самоврядування;</w:t>
      </w:r>
    </w:p>
    <w:p w14:paraId="3F871B59" w14:textId="77777777" w:rsidR="004C61D0" w:rsidRPr="004C61D0" w:rsidRDefault="004C61D0" w:rsidP="004C61D0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засновник (засновники) закладів освіти або уповноважений ним (ними) орган;</w:t>
      </w:r>
    </w:p>
    <w:p w14:paraId="3D310863" w14:textId="77777777" w:rsidR="004C61D0" w:rsidRPr="004C61D0" w:rsidRDefault="004C61D0" w:rsidP="004C61D0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керівники та інші працівники закладів освіти;</w:t>
      </w:r>
    </w:p>
    <w:p w14:paraId="1D1B9CC0" w14:textId="77777777" w:rsidR="004C61D0" w:rsidRPr="004C61D0" w:rsidRDefault="004C61D0" w:rsidP="004C61D0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служби у справах дітей;</w:t>
      </w:r>
    </w:p>
    <w:p w14:paraId="475942F9" w14:textId="77777777" w:rsidR="004C61D0" w:rsidRPr="004C61D0" w:rsidRDefault="004C61D0" w:rsidP="004C61D0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центри соціальних служб;</w:t>
      </w:r>
    </w:p>
    <w:p w14:paraId="466B2066" w14:textId="77777777" w:rsidR="004C61D0" w:rsidRPr="004C61D0" w:rsidRDefault="004C61D0" w:rsidP="004C61D0">
      <w:pPr>
        <w:numPr>
          <w:ilvl w:val="0"/>
          <w:numId w:val="1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територіальні органи (підрозділи) Національної поліції України.</w:t>
      </w:r>
    </w:p>
    <w:p w14:paraId="16C6D002" w14:textId="77777777" w:rsidR="004C61D0" w:rsidRPr="004C61D0" w:rsidRDefault="004C61D0" w:rsidP="004C61D0">
      <w:pPr>
        <w:shd w:val="clear" w:color="auto" w:fill="FFFFFF"/>
        <w:spacing w:after="0" w:line="240" w:lineRule="auto"/>
        <w:ind w:left="570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Служба освітнього омбудсмена</w:t>
      </w: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 </w:t>
      </w: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має </w:t>
      </w: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право:</w:t>
      </w:r>
    </w:p>
    <w:p w14:paraId="6426A63B" w14:textId="77777777" w:rsidR="004C61D0" w:rsidRPr="004C61D0" w:rsidRDefault="004C61D0" w:rsidP="004C61D0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аналізувати дотримання законодавства стосовно учасників освітнього процесу, які постраждали від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(цькування), стали його свідками або вчинили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(цькування);</w:t>
      </w:r>
    </w:p>
    <w:p w14:paraId="39C4068B" w14:textId="77777777" w:rsidR="004C61D0" w:rsidRPr="004C61D0" w:rsidRDefault="004C61D0" w:rsidP="004C61D0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здійснювати перевірку заяв про випадки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 в закладі освіти, повноту та своєчасність заходів реагування на такі випадки з боку педагогічних, науково-педагогічних, наукових працівників, керівництва та засновника закладу освіти;</w:t>
      </w:r>
    </w:p>
    <w:p w14:paraId="303BC58F" w14:textId="77777777" w:rsidR="004C61D0" w:rsidRPr="004C61D0" w:rsidRDefault="004C61D0" w:rsidP="004C61D0">
      <w:pPr>
        <w:numPr>
          <w:ilvl w:val="0"/>
          <w:numId w:val="2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аналізувати заходи для надання соціальних та психолого-педагогічних послуг здобувачам освіти, які постраждали від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(цькування), стали його свідками або вчинили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(цькування).</w:t>
      </w:r>
    </w:p>
    <w:p w14:paraId="0016C83C" w14:textId="77777777" w:rsidR="004C61D0" w:rsidRPr="004C61D0" w:rsidRDefault="004C61D0" w:rsidP="004C61D0">
      <w:pPr>
        <w:shd w:val="clear" w:color="auto" w:fill="FFFFFF"/>
        <w:spacing w:after="0" w:line="240" w:lineRule="auto"/>
        <w:ind w:left="570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Місцеві органи управління освітою (засновники закладу освіти):</w:t>
      </w:r>
    </w:p>
    <w:p w14:paraId="050C4BA4" w14:textId="77777777" w:rsidR="004C61D0" w:rsidRPr="004C61D0" w:rsidRDefault="004C61D0" w:rsidP="004C61D0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розглядають скарги про відмову у реагуванні на випадки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 за заявами здобувачів освіти, їхніх батьків, законних представників, інших осіб та приймає рішення за результатами розгляду таких скарг; </w:t>
      </w:r>
    </w:p>
    <w:p w14:paraId="43BE7BA4" w14:textId="77777777" w:rsidR="004C61D0" w:rsidRPr="004C61D0" w:rsidRDefault="004C61D0" w:rsidP="004C61D0">
      <w:pPr>
        <w:numPr>
          <w:ilvl w:val="0"/>
          <w:numId w:val="3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сприяють та вживають заходів для надання соціальних та психолого-педагогічних послуг здобувачам освіти, які вчинили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(цькування), стали його свідками або постраждали від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.</w:t>
      </w:r>
    </w:p>
    <w:p w14:paraId="7D9A1863" w14:textId="77777777" w:rsidR="004C61D0" w:rsidRPr="004C61D0" w:rsidRDefault="004C61D0" w:rsidP="004C61D0">
      <w:pPr>
        <w:shd w:val="clear" w:color="auto" w:fill="FFFFFF"/>
        <w:spacing w:after="0" w:line="240" w:lineRule="auto"/>
        <w:ind w:left="570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Заклади освіти</w:t>
      </w:r>
    </w:p>
    <w:p w14:paraId="1BA6857A" w14:textId="77777777" w:rsidR="004C61D0" w:rsidRPr="004C61D0" w:rsidRDefault="004C61D0" w:rsidP="004C61D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Керівник закладу освіти у разі отримання заяви або повідомлення про випадок </w:t>
      </w:r>
      <w:proofErr w:type="spellStart"/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</w:t>
      </w: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:</w:t>
      </w:r>
    </w:p>
    <w:p w14:paraId="5E5B685E" w14:textId="77777777" w:rsidR="004C61D0" w:rsidRPr="004C61D0" w:rsidRDefault="004C61D0" w:rsidP="004C61D0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невідкладно у строк, що не перевищує однієї доби, повідомляє територіальний орган (підрозділ) Національної поліції України, принаймні одного з батьків або інших законних представників</w:t>
      </w: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u w:val="single"/>
          <w:bdr w:val="none" w:sz="0" w:space="0" w:color="auto" w:frame="1"/>
          <w:shd w:val="clear" w:color="auto" w:fill="FFFFFF"/>
          <w:lang w:eastAsia="uk-UA"/>
          <w14:ligatures w14:val="none"/>
        </w:rPr>
        <w:t> </w:t>
      </w: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малолітньої чи неповнолітньої особи, яка стала стороною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(цькування);</w:t>
      </w:r>
    </w:p>
    <w:p w14:paraId="73BFD030" w14:textId="77777777" w:rsidR="004C61D0" w:rsidRPr="004C61D0" w:rsidRDefault="004C61D0" w:rsidP="004C61D0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розглядає заяви про випадки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 здобувачів освіти, їхніх батьків, законних представників, інших осіб та видає рішення про проведення розслідування;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скликає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засідання комісії з розгляду випадків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 не пізніше ніж упродовж трьох робочих днів з дня отримання заяви або повідомлення для прийняття рішення за результатами проведеного розслідування та вживає відповідних заходів реагування;</w:t>
      </w:r>
    </w:p>
    <w:p w14:paraId="20A2ACD0" w14:textId="77777777" w:rsidR="004C61D0" w:rsidRPr="004C61D0" w:rsidRDefault="004C61D0" w:rsidP="004C61D0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за потреби викликає бригаду екстреної (швидкої) медичної допомоги для надання екстреної медичної допомоги;</w:t>
      </w:r>
    </w:p>
    <w:p w14:paraId="1BCC6648" w14:textId="77777777" w:rsidR="004C61D0" w:rsidRPr="004C61D0" w:rsidRDefault="004C61D0" w:rsidP="004C61D0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lastRenderedPageBreak/>
        <w:t xml:space="preserve">повідомляє службу у справах дітей з метою вирішення питання щодо соціального захисту малолітньої чи неповнолітньої особи, яка стала стороною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(цькування), з’ясування причин, які призвели до випадку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 та вжиття заходів для усунення таких причин;</w:t>
      </w:r>
    </w:p>
    <w:p w14:paraId="0B7C8CE9" w14:textId="77777777" w:rsidR="004C61D0" w:rsidRPr="004C61D0" w:rsidRDefault="004C61D0" w:rsidP="004C61D0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повідомляє центр соціальних служб з метою здійснення оцінки потреб сторін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(цькування), визначення соціальних послуг та методів соціальної роботи, забезпечення психологічної підтримки та надання соціальних послуг на рівні громади;</w:t>
      </w:r>
    </w:p>
    <w:p w14:paraId="44367553" w14:textId="77777777" w:rsidR="004C61D0" w:rsidRPr="004C61D0" w:rsidRDefault="004C61D0" w:rsidP="004C61D0">
      <w:pPr>
        <w:numPr>
          <w:ilvl w:val="0"/>
          <w:numId w:val="4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, стали його свідками або постраждали від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(цькування).</w:t>
      </w:r>
    </w:p>
    <w:p w14:paraId="0EBFD78A" w14:textId="77777777" w:rsidR="004C61D0" w:rsidRPr="004C61D0" w:rsidRDefault="004C61D0" w:rsidP="004C61D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Педагогічні працівники та інші особи, які залучаються до освітнього процесу </w:t>
      </w: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зобов’язані:</w:t>
      </w:r>
    </w:p>
    <w:p w14:paraId="70BC8632" w14:textId="77777777" w:rsidR="004C61D0" w:rsidRPr="004C61D0" w:rsidRDefault="004C61D0" w:rsidP="004C61D0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повідомляти керівництво закладу освіти про факти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 стосовно здобувачів освіти, педагогічних, інших осіб, які залучаються до освітнього процесу, свідком якого вони були особисто або інформацію про які отримали від інших осіб;</w:t>
      </w:r>
    </w:p>
    <w:p w14:paraId="0B752DCB" w14:textId="77777777" w:rsidR="004C61D0" w:rsidRPr="004C61D0" w:rsidRDefault="004C61D0" w:rsidP="004C61D0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вживати невідкладні заходи для припинення небезпечного впливу; </w:t>
      </w:r>
    </w:p>
    <w:p w14:paraId="296A8184" w14:textId="77777777" w:rsidR="004C61D0" w:rsidRPr="004C61D0" w:rsidRDefault="004C61D0" w:rsidP="004C61D0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за потреби надавати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домедичну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допомогу та викликати бригаду екстреної (швидкої) медичної допомоги для надання екстреної медичної допомоги;</w:t>
      </w:r>
    </w:p>
    <w:p w14:paraId="75F76457" w14:textId="77777777" w:rsidR="004C61D0" w:rsidRPr="004C61D0" w:rsidRDefault="004C61D0" w:rsidP="004C61D0">
      <w:pPr>
        <w:numPr>
          <w:ilvl w:val="0"/>
          <w:numId w:val="7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звертатися (за потреби) до територіальних органів (підрозділів) Національної поліції України.</w:t>
      </w:r>
    </w:p>
    <w:p w14:paraId="2ED15112" w14:textId="77777777" w:rsidR="004C61D0" w:rsidRPr="004C61D0" w:rsidRDefault="004C61D0" w:rsidP="004C61D0">
      <w:pPr>
        <w:shd w:val="clear" w:color="auto" w:fill="FFFFFF"/>
        <w:spacing w:after="0" w:line="240" w:lineRule="auto"/>
        <w:ind w:left="570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Громадський нагляд (контроль) у сфері освіти</w:t>
      </w: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 мають право:</w:t>
      </w:r>
    </w:p>
    <w:p w14:paraId="2F1FF5EF" w14:textId="77777777" w:rsidR="004C61D0" w:rsidRPr="004C61D0" w:rsidRDefault="004C61D0" w:rsidP="004C61D0">
      <w:pPr>
        <w:numPr>
          <w:ilvl w:val="0"/>
          <w:numId w:val="8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проводити моніторинг та оприлюднювати результати, зокрема, щодо випадків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 в закладах освіти та заходів реагування на такі випадки, вжитих керівництвом закладу освіти або його засновником.</w:t>
      </w:r>
    </w:p>
    <w:p w14:paraId="782A95DB" w14:textId="77777777" w:rsidR="004C61D0" w:rsidRPr="004C61D0" w:rsidRDefault="004C61D0" w:rsidP="004C61D0">
      <w:pPr>
        <w:shd w:val="clear" w:color="auto" w:fill="FFFFFF"/>
        <w:spacing w:after="0" w:line="240" w:lineRule="auto"/>
        <w:ind w:left="570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Міністерство соціальної політики України </w:t>
      </w: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забезпечує</w:t>
      </w: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:</w:t>
      </w:r>
    </w:p>
    <w:p w14:paraId="14C3F011" w14:textId="77777777" w:rsidR="004C61D0" w:rsidRPr="004C61D0" w:rsidRDefault="004C61D0" w:rsidP="004C61D0">
      <w:pPr>
        <w:numPr>
          <w:ilvl w:val="0"/>
          <w:numId w:val="9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формування політики в напрямі надання соціальних послуг та проведення соціальної роботи.</w:t>
      </w:r>
    </w:p>
    <w:p w14:paraId="3BDD793E" w14:textId="77777777" w:rsidR="004C61D0" w:rsidRPr="004C61D0" w:rsidRDefault="004C61D0" w:rsidP="004C61D0">
      <w:pPr>
        <w:shd w:val="clear" w:color="auto" w:fill="FFFFFF"/>
        <w:spacing w:after="0" w:line="240" w:lineRule="auto"/>
        <w:ind w:left="570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Державна служба України у справах дітей</w:t>
      </w:r>
    </w:p>
    <w:p w14:paraId="3A811AC9" w14:textId="77777777" w:rsidR="004C61D0" w:rsidRPr="004C61D0" w:rsidRDefault="004C61D0" w:rsidP="004C61D0">
      <w:pPr>
        <w:numPr>
          <w:ilvl w:val="0"/>
          <w:numId w:val="10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здійснює координацію заходів та інформаційне забезпечення служб у справах дітей щодо забезпечення безпеки дітей, стосовно яких надійшла інформація про жорстоке поводження з ними або загрозу їхньому життю чи здоров’ю.</w:t>
      </w:r>
    </w:p>
    <w:p w14:paraId="05ED7401" w14:textId="77777777" w:rsidR="004C61D0" w:rsidRPr="004C61D0" w:rsidRDefault="004C61D0" w:rsidP="004C61D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Національна соціальна сервісна служба України</w:t>
      </w:r>
    </w:p>
    <w:p w14:paraId="0187FBD2" w14:textId="77777777" w:rsidR="004C61D0" w:rsidRPr="004C61D0" w:rsidRDefault="004C61D0" w:rsidP="004C61D0">
      <w:pPr>
        <w:numPr>
          <w:ilvl w:val="0"/>
          <w:numId w:val="11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здійснює заходи з державного нагляду (контролю) за якістю надання соціальних послуг.</w:t>
      </w:r>
    </w:p>
    <w:p w14:paraId="58D45645" w14:textId="77777777" w:rsidR="004C61D0" w:rsidRPr="004C61D0" w:rsidRDefault="004C61D0" w:rsidP="004C61D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Служба у справах дітей </w:t>
      </w: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здійснює забезпечення безпеки дітей, стосовно яких надійшла інформація про жорстоке поводження з ними або загрозу їхньому життю чи здоров’ю, шляхом:</w:t>
      </w:r>
    </w:p>
    <w:p w14:paraId="64FE6AA2" w14:textId="77777777" w:rsidR="004C61D0" w:rsidRPr="004C61D0" w:rsidRDefault="004C61D0" w:rsidP="004C61D0">
      <w:pPr>
        <w:numPr>
          <w:ilvl w:val="0"/>
          <w:numId w:val="12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невідкладного проведення оцінки рівня безпеки дитини спільно з уповноваженим підрозділом територіального органу Національної поліції, який діє у межах своїх повноважень, фахівцем із соціальної роботи або іншим надавачем соціальних послуг, представником закладу охорони здоров’я, у разі необхідності із залученням інших фахівців;</w:t>
      </w:r>
    </w:p>
    <w:p w14:paraId="0F4DBECB" w14:textId="77777777" w:rsidR="004C61D0" w:rsidRPr="004C61D0" w:rsidRDefault="004C61D0" w:rsidP="004C61D0">
      <w:pPr>
        <w:numPr>
          <w:ilvl w:val="0"/>
          <w:numId w:val="12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вжиття в разі необхідності заходів щодо організації надання дитині необхідної медичної допомоги, її тимчасового влаштування;</w:t>
      </w:r>
    </w:p>
    <w:p w14:paraId="349D217A" w14:textId="77777777" w:rsidR="004C61D0" w:rsidRPr="004C61D0" w:rsidRDefault="004C61D0" w:rsidP="004C61D0">
      <w:pPr>
        <w:numPr>
          <w:ilvl w:val="0"/>
          <w:numId w:val="12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lastRenderedPageBreak/>
        <w:t xml:space="preserve">вирішення питання щодо соціального захисту малолітньої чи неповнолітньої особи, яка стала стороною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(цькування), з’ясування причин, які призвели до випадку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 та вжиття заходів для усунення таких причин.</w:t>
      </w:r>
    </w:p>
    <w:p w14:paraId="0B1A13D9" w14:textId="77777777" w:rsidR="004C61D0" w:rsidRPr="004C61D0" w:rsidRDefault="004C61D0" w:rsidP="004C61D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Центр надання соціальних послуг / Центр соціальних служб</w:t>
      </w: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:</w:t>
      </w:r>
    </w:p>
    <w:p w14:paraId="02782D19" w14:textId="77777777" w:rsidR="004C61D0" w:rsidRPr="004C61D0" w:rsidRDefault="004C61D0" w:rsidP="004C61D0">
      <w:pPr>
        <w:numPr>
          <w:ilvl w:val="0"/>
          <w:numId w:val="13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здійснює оцінку потреб сторін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(цькування), визначає соціальні послуги та методи соціальної роботи, забезпечує психологічну підтримку та надання соціальних послуг;</w:t>
      </w:r>
    </w:p>
    <w:p w14:paraId="5766D393" w14:textId="77777777" w:rsidR="004C61D0" w:rsidRPr="004C61D0" w:rsidRDefault="004C61D0" w:rsidP="004C61D0">
      <w:pPr>
        <w:numPr>
          <w:ilvl w:val="0"/>
          <w:numId w:val="13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надає соціальні послуги відповідно до державних стандартів соціальних послуг з урахуванням виявлених потреб сторін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</w:p>
    <w:p w14:paraId="1ECF90CA" w14:textId="77777777" w:rsidR="004C61D0" w:rsidRPr="004C61D0" w:rsidRDefault="004C61D0" w:rsidP="004C61D0">
      <w:pPr>
        <w:shd w:val="clear" w:color="auto" w:fill="FFFFFF"/>
        <w:spacing w:after="0" w:line="240" w:lineRule="auto"/>
        <w:ind w:left="570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Національна поліція України</w:t>
      </w:r>
    </w:p>
    <w:p w14:paraId="1BF24C75" w14:textId="77777777" w:rsidR="004C61D0" w:rsidRPr="004C61D0" w:rsidRDefault="004C61D0" w:rsidP="004C61D0">
      <w:pPr>
        <w:shd w:val="clear" w:color="auto" w:fill="FFFFFF"/>
        <w:spacing w:after="0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Підрозділи ювенальної превенції Національної поліції України</w:t>
      </w: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:</w:t>
      </w:r>
    </w:p>
    <w:p w14:paraId="396BEB63" w14:textId="77777777" w:rsidR="004C61D0" w:rsidRPr="004C61D0" w:rsidRDefault="004C61D0" w:rsidP="004C61D0">
      <w:pPr>
        <w:numPr>
          <w:ilvl w:val="0"/>
          <w:numId w:val="14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розглядають усні та письмові заяви (скарги, повідомлення) про випадки цькування;</w:t>
      </w:r>
    </w:p>
    <w:p w14:paraId="7C32085B" w14:textId="77777777" w:rsidR="004C61D0" w:rsidRPr="004C61D0" w:rsidRDefault="004C61D0" w:rsidP="004C61D0">
      <w:pPr>
        <w:numPr>
          <w:ilvl w:val="0"/>
          <w:numId w:val="14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перевіряють достовірність отриманої інформації, встановлюють рівень загрози для жертви та інших учасників;</w:t>
      </w:r>
    </w:p>
    <w:p w14:paraId="267791A2" w14:textId="77777777" w:rsidR="004C61D0" w:rsidRPr="004C61D0" w:rsidRDefault="004C61D0" w:rsidP="004C61D0">
      <w:pPr>
        <w:numPr>
          <w:ilvl w:val="0"/>
          <w:numId w:val="14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вживають заходи для запобігання і припинення стосовно дитини будь-яких протиправних діянь; </w:t>
      </w:r>
    </w:p>
    <w:p w14:paraId="541AB005" w14:textId="77777777" w:rsidR="004C61D0" w:rsidRPr="004C61D0" w:rsidRDefault="004C61D0" w:rsidP="004C61D0">
      <w:pPr>
        <w:numPr>
          <w:ilvl w:val="0"/>
          <w:numId w:val="14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виявляють можливих учасників </w:t>
      </w:r>
      <w:proofErr w:type="spellStart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булінгу</w:t>
      </w:r>
      <w:proofErr w:type="spellEnd"/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(цькування), збирають відповідні матеріали. За необхідності - оформляють матеріали про адміністративне правопорушення; </w:t>
      </w:r>
    </w:p>
    <w:p w14:paraId="1EDF8430" w14:textId="77777777" w:rsidR="004C61D0" w:rsidRPr="004C61D0" w:rsidRDefault="004C61D0" w:rsidP="004C61D0">
      <w:pPr>
        <w:numPr>
          <w:ilvl w:val="0"/>
          <w:numId w:val="14"/>
        </w:numPr>
        <w:shd w:val="clear" w:color="auto" w:fill="FFFFFF"/>
        <w:spacing w:after="0" w:line="240" w:lineRule="auto"/>
        <w:ind w:left="945" w:right="225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>взаємодіють з іншими підрозділами НПУ, органами державної влади та місцевого самоврядування з питань забезпечення прав та законних інтересів дітей.</w:t>
      </w:r>
    </w:p>
    <w:p w14:paraId="7FDEED24" w14:textId="77777777" w:rsidR="004C61D0" w:rsidRPr="004C61D0" w:rsidRDefault="004C61D0" w:rsidP="004C61D0">
      <w:pPr>
        <w:shd w:val="clear" w:color="auto" w:fill="FFFFFF"/>
        <w:spacing w:before="225" w:after="225" w:line="240" w:lineRule="auto"/>
        <w:ind w:firstLine="567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 w:rsidRPr="004C61D0"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  <w:t> </w:t>
      </w:r>
    </w:p>
    <w:p w14:paraId="4DD45E96" w14:textId="3B809C2B" w:rsidR="004C61D0" w:rsidRPr="004C61D0" w:rsidRDefault="004C61D0" w:rsidP="004C61D0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kern w:val="0"/>
          <w:sz w:val="21"/>
          <w:szCs w:val="21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:shd w:val="clear" w:color="auto" w:fill="FFFFFF"/>
          <w:lang w:eastAsia="uk-UA"/>
          <w14:ligatures w14:val="none"/>
        </w:rPr>
        <w:t xml:space="preserve">            </w:t>
      </w:r>
    </w:p>
    <w:p w14:paraId="62675500" w14:textId="77777777" w:rsidR="00C632E0" w:rsidRDefault="00C632E0"/>
    <w:sectPr w:rsidR="00C632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82954"/>
    <w:multiLevelType w:val="multilevel"/>
    <w:tmpl w:val="63D4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744E9"/>
    <w:multiLevelType w:val="multilevel"/>
    <w:tmpl w:val="A46C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37F0B"/>
    <w:multiLevelType w:val="multilevel"/>
    <w:tmpl w:val="2F7A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52936"/>
    <w:multiLevelType w:val="multilevel"/>
    <w:tmpl w:val="56C0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A579A6"/>
    <w:multiLevelType w:val="multilevel"/>
    <w:tmpl w:val="710A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B976D8"/>
    <w:multiLevelType w:val="multilevel"/>
    <w:tmpl w:val="35429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85C9E"/>
    <w:multiLevelType w:val="multilevel"/>
    <w:tmpl w:val="BECAF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C4E03"/>
    <w:multiLevelType w:val="multilevel"/>
    <w:tmpl w:val="3426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250C76"/>
    <w:multiLevelType w:val="multilevel"/>
    <w:tmpl w:val="55E6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591912"/>
    <w:multiLevelType w:val="multilevel"/>
    <w:tmpl w:val="F6B6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51CCA"/>
    <w:multiLevelType w:val="multilevel"/>
    <w:tmpl w:val="4D784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5765A7"/>
    <w:multiLevelType w:val="multilevel"/>
    <w:tmpl w:val="FD04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622566"/>
    <w:multiLevelType w:val="multilevel"/>
    <w:tmpl w:val="EE0A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F00E21"/>
    <w:multiLevelType w:val="multilevel"/>
    <w:tmpl w:val="6BFC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A5243B"/>
    <w:multiLevelType w:val="multilevel"/>
    <w:tmpl w:val="6AE4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463BC5"/>
    <w:multiLevelType w:val="multilevel"/>
    <w:tmpl w:val="8D1E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F84A13"/>
    <w:multiLevelType w:val="multilevel"/>
    <w:tmpl w:val="EE502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0E2137"/>
    <w:multiLevelType w:val="multilevel"/>
    <w:tmpl w:val="C0EE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165112">
    <w:abstractNumId w:val="7"/>
  </w:num>
  <w:num w:numId="2" w16cid:durableId="1845588294">
    <w:abstractNumId w:val="1"/>
  </w:num>
  <w:num w:numId="3" w16cid:durableId="1979870360">
    <w:abstractNumId w:val="15"/>
  </w:num>
  <w:num w:numId="4" w16cid:durableId="420831769">
    <w:abstractNumId w:val="11"/>
  </w:num>
  <w:num w:numId="5" w16cid:durableId="1533884614">
    <w:abstractNumId w:val="0"/>
  </w:num>
  <w:num w:numId="6" w16cid:durableId="1209419261">
    <w:abstractNumId w:val="9"/>
  </w:num>
  <w:num w:numId="7" w16cid:durableId="1449272263">
    <w:abstractNumId w:val="8"/>
  </w:num>
  <w:num w:numId="8" w16cid:durableId="1561749636">
    <w:abstractNumId w:val="6"/>
  </w:num>
  <w:num w:numId="9" w16cid:durableId="1553927015">
    <w:abstractNumId w:val="14"/>
  </w:num>
  <w:num w:numId="10" w16cid:durableId="1520850345">
    <w:abstractNumId w:val="3"/>
  </w:num>
  <w:num w:numId="11" w16cid:durableId="1579051863">
    <w:abstractNumId w:val="16"/>
  </w:num>
  <w:num w:numId="12" w16cid:durableId="2040736871">
    <w:abstractNumId w:val="5"/>
  </w:num>
  <w:num w:numId="13" w16cid:durableId="1988395001">
    <w:abstractNumId w:val="4"/>
  </w:num>
  <w:num w:numId="14" w16cid:durableId="1357852128">
    <w:abstractNumId w:val="10"/>
  </w:num>
  <w:num w:numId="15" w16cid:durableId="1682971344">
    <w:abstractNumId w:val="2"/>
  </w:num>
  <w:num w:numId="16" w16cid:durableId="658077333">
    <w:abstractNumId w:val="12"/>
  </w:num>
  <w:num w:numId="17" w16cid:durableId="1387022382">
    <w:abstractNumId w:val="17"/>
  </w:num>
  <w:num w:numId="18" w16cid:durableId="8110957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D0"/>
    <w:rsid w:val="004C61D0"/>
    <w:rsid w:val="00C632E0"/>
    <w:rsid w:val="00C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ABA0"/>
  <w15:chartTrackingRefBased/>
  <w15:docId w15:val="{D0F52C02-33FE-45CA-B4D8-8F0E23FF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6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6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6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61D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61D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61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61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61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61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6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C6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C6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C6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1D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C61D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C6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9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4092</Words>
  <Characters>2333</Characters>
  <Application>Microsoft Office Word</Application>
  <DocSecurity>0</DocSecurity>
  <Lines>19</Lines>
  <Paragraphs>12</Paragraphs>
  <ScaleCrop>false</ScaleCrop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2025-04-02T11:37:00Z</dcterms:created>
  <dcterms:modified xsi:type="dcterms:W3CDTF">2025-04-02T11:38:00Z</dcterms:modified>
</cp:coreProperties>
</file>